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D0B17" w:rsidRDefault="00BD0B17" w:rsidP="00BD0B1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D0B17" w:rsidRDefault="00BB6331" w:rsidP="00BB6331">
      <w:pPr>
        <w:rPr>
          <w:rFonts w:hint="eastAsia"/>
        </w:rPr>
      </w:pPr>
    </w:p>
    <w:p w:rsidR="00EA1625" w:rsidRDefault="00EA1625" w:rsidP="00EA1625">
      <w:pPr>
        <w:rPr>
          <w:rFonts w:hint="eastAsia"/>
        </w:rPr>
      </w:pPr>
      <w:r>
        <w:rPr>
          <w:rFonts w:hint="eastAsia"/>
        </w:rPr>
        <w:t>（検査役の選任）</w:t>
      </w:r>
    </w:p>
    <w:p w:rsidR="00EA1625" w:rsidRDefault="00EA1625" w:rsidP="00693C11">
      <w:pPr>
        <w:ind w:left="178" w:hangingChars="85" w:hanging="178"/>
        <w:rPr>
          <w:rFonts w:hint="eastAsia"/>
        </w:rPr>
      </w:pPr>
      <w:r>
        <w:rPr>
          <w:rFonts w:hint="eastAsia"/>
        </w:rPr>
        <w:t>第百条の二十二　裁判所は、金融商品会員制法人の解散及び清算の監督に必要な検査をさせるため、検査役を選任することができる。</w:t>
      </w:r>
      <w:r>
        <w:rPr>
          <w:rFonts w:hint="eastAsia"/>
        </w:rPr>
        <w:t xml:space="preserve"> </w:t>
      </w:r>
    </w:p>
    <w:p w:rsidR="00BB6331" w:rsidRDefault="00EA1625" w:rsidP="00693C11">
      <w:pPr>
        <w:ind w:left="178" w:hangingChars="85" w:hanging="178"/>
        <w:rPr>
          <w:rFonts w:hint="eastAsia"/>
        </w:rPr>
      </w:pPr>
      <w:r>
        <w:rPr>
          <w:rFonts w:hint="eastAsia"/>
        </w:rPr>
        <w:t>２　前三条の規定は、前項の規定により裁判所が検査役を選任した場合について準用する。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84E4C">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84E4C">
        <w:rPr>
          <w:rFonts w:hint="eastAsia"/>
        </w:rPr>
        <w:t>（改正なし）</w:t>
      </w:r>
    </w:p>
    <w:p w:rsidR="00E22C4F" w:rsidRDefault="00E22C4F" w:rsidP="00E22C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3C11">
        <w:tab/>
      </w:r>
      <w:r w:rsidR="00693C11">
        <w:rPr>
          <w:rFonts w:hint="eastAsia"/>
        </w:rPr>
        <w:t>（改正なし）</w:t>
      </w:r>
    </w:p>
    <w:p w:rsidR="00E22C4F" w:rsidRDefault="00BB6331" w:rsidP="00E22C4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22C4F" w:rsidRDefault="00E22C4F" w:rsidP="00E22C4F"/>
    <w:p w:rsidR="00E22C4F" w:rsidRDefault="00E22C4F" w:rsidP="00E22C4F">
      <w:r>
        <w:rPr>
          <w:rFonts w:hint="eastAsia"/>
        </w:rPr>
        <w:t>（改正後）</w:t>
      </w:r>
    </w:p>
    <w:p w:rsidR="00E22C4F" w:rsidRDefault="00E22C4F" w:rsidP="00E22C4F">
      <w:pPr>
        <w:rPr>
          <w:rFonts w:hint="eastAsia"/>
        </w:rPr>
      </w:pPr>
      <w:r>
        <w:rPr>
          <w:rFonts w:hint="eastAsia"/>
        </w:rPr>
        <w:t>（検査役の選任）</w:t>
      </w:r>
    </w:p>
    <w:p w:rsidR="00E22C4F" w:rsidRDefault="00E22C4F" w:rsidP="00E22C4F">
      <w:pPr>
        <w:ind w:left="178" w:hangingChars="85" w:hanging="178"/>
        <w:rPr>
          <w:rFonts w:hint="eastAsia"/>
        </w:rPr>
      </w:pPr>
      <w:r>
        <w:rPr>
          <w:rFonts w:hint="eastAsia"/>
        </w:rPr>
        <w:t>第百条の二十二　裁判所は、金融商品会員制法人の解散及び清算の監督に必要な検査をさせるため、検査役を選任することができる。</w:t>
      </w:r>
    </w:p>
    <w:p w:rsidR="00E22C4F" w:rsidRDefault="00E22C4F" w:rsidP="00E22C4F">
      <w:pPr>
        <w:ind w:left="178" w:hangingChars="85" w:hanging="178"/>
        <w:rPr>
          <w:rFonts w:hint="eastAsia"/>
        </w:rPr>
      </w:pPr>
      <w:r>
        <w:rPr>
          <w:rFonts w:hint="eastAsia"/>
        </w:rPr>
        <w:t>２　前三条の規定は、前項の規定により裁判所が検査役を選任した場合について準用する。</w:t>
      </w:r>
    </w:p>
    <w:p w:rsidR="00E22C4F" w:rsidRPr="00E22C4F" w:rsidRDefault="00E22C4F" w:rsidP="00E22C4F">
      <w:pPr>
        <w:ind w:left="178" w:hangingChars="85" w:hanging="178"/>
      </w:pPr>
    </w:p>
    <w:p w:rsidR="00E22C4F" w:rsidRDefault="00E22C4F" w:rsidP="00E22C4F">
      <w:pPr>
        <w:ind w:left="178" w:hangingChars="85" w:hanging="178"/>
      </w:pPr>
      <w:r>
        <w:rPr>
          <w:rFonts w:hint="eastAsia"/>
        </w:rPr>
        <w:t>（改正前）</w:t>
      </w:r>
    </w:p>
    <w:p w:rsidR="00E22C4F" w:rsidRDefault="00E22C4F" w:rsidP="00E22C4F">
      <w:pPr>
        <w:rPr>
          <w:u w:val="single" w:color="FF0000"/>
        </w:rPr>
      </w:pPr>
      <w:r>
        <w:rPr>
          <w:rFonts w:hint="eastAsia"/>
          <w:u w:val="single" w:color="FF0000"/>
        </w:rPr>
        <w:t>（新設）</w:t>
      </w:r>
    </w:p>
    <w:p w:rsidR="00E22C4F" w:rsidRDefault="00E22C4F" w:rsidP="00E22C4F"/>
    <w:p w:rsidR="00BB6331" w:rsidRPr="00E22C4F" w:rsidRDefault="00BB6331" w:rsidP="00E22C4F"/>
    <w:sectPr w:rsidR="00BB6331" w:rsidRPr="00E22C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1D3" w:rsidRDefault="008961D3">
      <w:r>
        <w:separator/>
      </w:r>
    </w:p>
  </w:endnote>
  <w:endnote w:type="continuationSeparator" w:id="0">
    <w:p w:rsidR="008961D3" w:rsidRDefault="0089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456B6">
      <w:rPr>
        <w:rStyle w:val="a4"/>
        <w:noProof/>
      </w:rPr>
      <w:t>1</w:t>
    </w:r>
    <w:r>
      <w:rPr>
        <w:rStyle w:val="a4"/>
      </w:rPr>
      <w:fldChar w:fldCharType="end"/>
    </w:r>
  </w:p>
  <w:p w:rsidR="00BB6331" w:rsidRDefault="00693C1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1D3" w:rsidRDefault="008961D3">
      <w:r>
        <w:separator/>
      </w:r>
    </w:p>
  </w:footnote>
  <w:footnote w:type="continuationSeparator" w:id="0">
    <w:p w:rsidR="008961D3" w:rsidRDefault="008961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7DF"/>
    <w:rsid w:val="001456B6"/>
    <w:rsid w:val="00393DAD"/>
    <w:rsid w:val="00484E4C"/>
    <w:rsid w:val="00641E16"/>
    <w:rsid w:val="00693C11"/>
    <w:rsid w:val="007D76EA"/>
    <w:rsid w:val="008961D3"/>
    <w:rsid w:val="00B5044B"/>
    <w:rsid w:val="00BB6331"/>
    <w:rsid w:val="00BD0B17"/>
    <w:rsid w:val="00E22C4F"/>
    <w:rsid w:val="00EA1625"/>
    <w:rsid w:val="00FE7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3C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84626">
      <w:bodyDiv w:val="1"/>
      <w:marLeft w:val="0"/>
      <w:marRight w:val="0"/>
      <w:marTop w:val="0"/>
      <w:marBottom w:val="0"/>
      <w:divBdr>
        <w:top w:val="none" w:sz="0" w:space="0" w:color="auto"/>
        <w:left w:val="none" w:sz="0" w:space="0" w:color="auto"/>
        <w:bottom w:val="none" w:sz="0" w:space="0" w:color="auto"/>
        <w:right w:val="none" w:sz="0" w:space="0" w:color="auto"/>
      </w:divBdr>
    </w:div>
    <w:div w:id="725495519">
      <w:bodyDiv w:val="1"/>
      <w:marLeft w:val="0"/>
      <w:marRight w:val="0"/>
      <w:marTop w:val="0"/>
      <w:marBottom w:val="0"/>
      <w:divBdr>
        <w:top w:val="none" w:sz="0" w:space="0" w:color="auto"/>
        <w:left w:val="none" w:sz="0" w:space="0" w:color="auto"/>
        <w:bottom w:val="none" w:sz="0" w:space="0" w:color="auto"/>
        <w:right w:val="none" w:sz="0" w:space="0" w:color="auto"/>
      </w:divBdr>
    </w:div>
    <w:div w:id="97506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金融商品取引法第100条の22</vt:lpstr>
      <vt:lpstr>金融商品取引法第100条の22</vt:lpstr>
    </vt:vector>
  </TitlesOfParts>
  <Manager/>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金融商品取引法第100条の22</dc:title>
  <dc:subject/>
  <dc:creator/>
  <cp:keywords/>
  <dc:description/>
  <cp:lastModifiedBy/>
  <cp:revision>1</cp:revision>
  <dcterms:created xsi:type="dcterms:W3CDTF">2024-09-06T08:10:00Z</dcterms:created>
  <dcterms:modified xsi:type="dcterms:W3CDTF">2024-09-06T08:10:00Z</dcterms:modified>
</cp:coreProperties>
</file>