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933C0" w:rsidRDefault="004933C0" w:rsidP="004933C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933C0" w:rsidRDefault="00BB6331" w:rsidP="00BB6331">
      <w:pPr>
        <w:rPr>
          <w:rFonts w:hint="eastAsia"/>
        </w:rPr>
      </w:pPr>
    </w:p>
    <w:p w:rsidR="004C14C4" w:rsidRDefault="004C14C4" w:rsidP="004C14C4">
      <w:pPr>
        <w:rPr>
          <w:rFonts w:hint="eastAsia"/>
        </w:rPr>
      </w:pPr>
      <w:r>
        <w:rPr>
          <w:rFonts w:hint="eastAsia"/>
        </w:rPr>
        <w:t>（金融商品債務引受業の適切な遂行を確保するための措置）</w:t>
      </w:r>
    </w:p>
    <w:p w:rsidR="00BB6331" w:rsidRDefault="004C14C4" w:rsidP="00E9226B">
      <w:pPr>
        <w:ind w:left="178" w:hangingChars="85" w:hanging="178"/>
        <w:rPr>
          <w:rFonts w:hint="eastAsia"/>
        </w:rPr>
      </w:pPr>
      <w:r>
        <w:rPr>
          <w:rFonts w:hint="eastAsia"/>
        </w:rPr>
        <w:t>第百五十六条の十　金融商品取引清算機関は、金融商品債務引受業により損失が生じた場合に清算参加者が当該損失の全部を負担する旨を業務方法書において定めることその他の金融商品債務引受業の適切な遂行を確保するための措置を講じ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92C22">
        <w:rPr>
          <w:rFonts w:hint="eastAsia"/>
        </w:rPr>
        <w:t>（改正なし）</w:t>
      </w:r>
    </w:p>
    <w:p w:rsidR="00534DB1" w:rsidRDefault="00534DB1" w:rsidP="00534DB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9226B">
        <w:tab/>
      </w:r>
      <w:r w:rsidR="00E922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226B" w:rsidRDefault="00E9226B" w:rsidP="00E9226B"/>
    <w:p w:rsidR="00E9226B" w:rsidRPr="00534DB1" w:rsidRDefault="00E9226B" w:rsidP="00E9226B">
      <w:pPr>
        <w:rPr>
          <w:u w:color="FF0000"/>
        </w:rPr>
      </w:pPr>
      <w:r w:rsidRPr="00534DB1">
        <w:rPr>
          <w:rFonts w:hint="eastAsia"/>
          <w:u w:color="FF0000"/>
        </w:rPr>
        <w:t>（改正後）</w:t>
      </w:r>
    </w:p>
    <w:p w:rsidR="00E9226B" w:rsidRPr="00534DB1" w:rsidRDefault="00E9226B" w:rsidP="00E9226B">
      <w:pPr>
        <w:rPr>
          <w:rFonts w:hint="eastAsia"/>
          <w:u w:val="single" w:color="FF0000"/>
        </w:rPr>
      </w:pPr>
      <w:r w:rsidRPr="00534DB1">
        <w:rPr>
          <w:rFonts w:hint="eastAsia"/>
          <w:u w:val="single" w:color="FF0000"/>
        </w:rPr>
        <w:t>（金融商品債務引受業の適切な遂行を確保するための措置）</w:t>
      </w:r>
    </w:p>
    <w:p w:rsidR="00E9226B" w:rsidRPr="00534DB1" w:rsidRDefault="00E9226B" w:rsidP="00E9226B">
      <w:pPr>
        <w:ind w:left="178" w:hangingChars="85" w:hanging="178"/>
        <w:rPr>
          <w:rFonts w:hint="eastAsia"/>
          <w:u w:color="FF0000"/>
        </w:rPr>
      </w:pPr>
      <w:r w:rsidRPr="00534DB1">
        <w:rPr>
          <w:rFonts w:hint="eastAsia"/>
          <w:u w:color="FF0000"/>
        </w:rPr>
        <w:t xml:space="preserve">第百五十六条の十　</w:t>
      </w:r>
      <w:r w:rsidRPr="00534DB1">
        <w:rPr>
          <w:rFonts w:hint="eastAsia"/>
          <w:u w:val="single" w:color="FF0000"/>
        </w:rPr>
        <w:t>金融商品取引清算機関</w:t>
      </w:r>
      <w:r w:rsidRPr="00534DB1">
        <w:rPr>
          <w:rFonts w:hint="eastAsia"/>
          <w:u w:color="FF0000"/>
        </w:rPr>
        <w:t>は、</w:t>
      </w:r>
      <w:r w:rsidRPr="00534DB1">
        <w:rPr>
          <w:rFonts w:hint="eastAsia"/>
          <w:u w:val="single" w:color="FF0000"/>
        </w:rPr>
        <w:t>金融商品債務引受業</w:t>
      </w:r>
      <w:r w:rsidRPr="00534DB1">
        <w:rPr>
          <w:rFonts w:hint="eastAsia"/>
          <w:u w:color="FF0000"/>
        </w:rPr>
        <w:t>により損失が生じた場合に清算参加者が当該損失の全部を負担する旨を業務方法書において定めることその他の</w:t>
      </w:r>
      <w:r w:rsidRPr="00534DB1">
        <w:rPr>
          <w:rFonts w:hint="eastAsia"/>
          <w:u w:val="single" w:color="FF0000"/>
        </w:rPr>
        <w:t>金融商品債務引受業</w:t>
      </w:r>
      <w:r w:rsidRPr="00534DB1">
        <w:rPr>
          <w:rFonts w:hint="eastAsia"/>
          <w:u w:color="FF0000"/>
        </w:rPr>
        <w:t>の適切な遂行を確保するための措置を講じなければならない。</w:t>
      </w:r>
    </w:p>
    <w:p w:rsidR="00E9226B" w:rsidRPr="00534DB1" w:rsidRDefault="00E9226B" w:rsidP="00E9226B">
      <w:pPr>
        <w:ind w:left="178" w:hangingChars="85" w:hanging="178"/>
        <w:rPr>
          <w:u w:color="FF0000"/>
        </w:rPr>
      </w:pPr>
    </w:p>
    <w:p w:rsidR="00E9226B" w:rsidRPr="00534DB1" w:rsidRDefault="00E9226B" w:rsidP="00E9226B">
      <w:pPr>
        <w:ind w:left="178" w:hangingChars="85" w:hanging="178"/>
        <w:rPr>
          <w:u w:color="FF0000"/>
        </w:rPr>
      </w:pPr>
      <w:r w:rsidRPr="00534DB1">
        <w:rPr>
          <w:rFonts w:hint="eastAsia"/>
          <w:u w:color="FF0000"/>
        </w:rPr>
        <w:t>（改正前）</w:t>
      </w:r>
    </w:p>
    <w:p w:rsidR="00E9226B" w:rsidRPr="00534DB1" w:rsidRDefault="00E9226B" w:rsidP="00E9226B">
      <w:pPr>
        <w:rPr>
          <w:u w:val="single" w:color="FF0000"/>
        </w:rPr>
      </w:pPr>
      <w:r w:rsidRPr="00534DB1">
        <w:rPr>
          <w:rFonts w:hint="eastAsia"/>
          <w:u w:val="single" w:color="FF0000"/>
        </w:rPr>
        <w:t>（新設）</w:t>
      </w:r>
    </w:p>
    <w:p w:rsidR="00E9226B" w:rsidRPr="00534DB1" w:rsidRDefault="00E9226B" w:rsidP="00E9226B">
      <w:pPr>
        <w:ind w:left="178" w:hangingChars="85" w:hanging="178"/>
        <w:rPr>
          <w:rFonts w:hint="eastAsia"/>
          <w:u w:color="FF0000"/>
        </w:rPr>
      </w:pPr>
      <w:r w:rsidRPr="00534DB1">
        <w:rPr>
          <w:rFonts w:hint="eastAsia"/>
          <w:u w:color="FF0000"/>
        </w:rPr>
        <w:t xml:space="preserve">第百五十六条の十　</w:t>
      </w:r>
      <w:r w:rsidRPr="00534DB1">
        <w:rPr>
          <w:rFonts w:hint="eastAsia"/>
          <w:u w:val="single" w:color="FF0000"/>
        </w:rPr>
        <w:t>証券取引清算機関</w:t>
      </w:r>
      <w:r w:rsidRPr="00534DB1">
        <w:rPr>
          <w:rFonts w:hint="eastAsia"/>
          <w:u w:color="FF0000"/>
        </w:rPr>
        <w:t>は、</w:t>
      </w:r>
      <w:r w:rsidRPr="00534DB1">
        <w:rPr>
          <w:rFonts w:hint="eastAsia"/>
          <w:u w:val="single" w:color="FF0000"/>
        </w:rPr>
        <w:t>有価証券債務引受業</w:t>
      </w:r>
      <w:r w:rsidRPr="00534DB1">
        <w:rPr>
          <w:rFonts w:hint="eastAsia"/>
          <w:u w:color="FF0000"/>
        </w:rPr>
        <w:t>により損失が生じた場合に清算参加者が当該損失の全部を負担する旨を業務方法書において定めることその他の</w:t>
      </w:r>
      <w:r w:rsidRPr="00534DB1">
        <w:rPr>
          <w:rFonts w:hint="eastAsia"/>
          <w:u w:val="single" w:color="FF0000"/>
        </w:rPr>
        <w:t>有価証券債務引受業</w:t>
      </w:r>
      <w:r w:rsidRPr="00534DB1">
        <w:rPr>
          <w:rFonts w:hint="eastAsia"/>
          <w:u w:color="FF0000"/>
        </w:rPr>
        <w:t>の適切な遂行を確保するための措置を講じなければならない。</w:t>
      </w:r>
    </w:p>
    <w:p w:rsidR="00E9226B" w:rsidRDefault="00E9226B" w:rsidP="00E9226B"/>
    <w:p w:rsidR="00E9226B" w:rsidRDefault="00E9226B" w:rsidP="00E9226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34DB1">
        <w:tab/>
      </w:r>
      <w:r w:rsidR="00534DB1">
        <w:rPr>
          <w:rFonts w:hint="eastAsia"/>
        </w:rPr>
        <w:t>（改正なし）</w:t>
      </w:r>
    </w:p>
    <w:p w:rsidR="00C46229" w:rsidRDefault="00BB6331" w:rsidP="00C4622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C46229" w:rsidRDefault="00C46229" w:rsidP="00C46229"/>
    <w:p w:rsidR="00C46229" w:rsidRDefault="00C46229" w:rsidP="00C46229">
      <w:r>
        <w:rPr>
          <w:rFonts w:hint="eastAsia"/>
        </w:rPr>
        <w:t>（改正後）</w:t>
      </w:r>
    </w:p>
    <w:p w:rsidR="00EE41B0" w:rsidRDefault="00EE41B0" w:rsidP="00EE41B0">
      <w:pPr>
        <w:ind w:left="178" w:hangingChars="85" w:hanging="178"/>
        <w:rPr>
          <w:rFonts w:hint="eastAsia"/>
        </w:rPr>
      </w:pPr>
      <w:r>
        <w:rPr>
          <w:rFonts w:hint="eastAsia"/>
        </w:rPr>
        <w:t>第百五十六条の十　証券取引清算機関は、有価証券債務引受業により損失が生じた場合に清算参加者が当該損失の全部を負担する旨を業務方法書において定めることその他の有価証券債務引受業の適切な遂行を確保するための措置を講じなければならない。</w:t>
      </w:r>
    </w:p>
    <w:p w:rsidR="00C46229" w:rsidRDefault="00C46229" w:rsidP="00C46229">
      <w:pPr>
        <w:ind w:left="178" w:hangingChars="85" w:hanging="178"/>
      </w:pPr>
    </w:p>
    <w:p w:rsidR="00C46229" w:rsidRDefault="00C46229" w:rsidP="00C46229">
      <w:pPr>
        <w:ind w:left="178" w:hangingChars="85" w:hanging="178"/>
      </w:pPr>
      <w:r>
        <w:rPr>
          <w:rFonts w:hint="eastAsia"/>
        </w:rPr>
        <w:t>（改正前）</w:t>
      </w:r>
    </w:p>
    <w:p w:rsidR="00C46229" w:rsidRDefault="00C46229" w:rsidP="00C46229">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B8C" w:rsidRDefault="002A1B8C">
      <w:r>
        <w:separator/>
      </w:r>
    </w:p>
  </w:endnote>
  <w:endnote w:type="continuationSeparator" w:id="0">
    <w:p w:rsidR="002A1B8C" w:rsidRDefault="002A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67FE">
      <w:rPr>
        <w:rStyle w:val="a4"/>
        <w:noProof/>
      </w:rPr>
      <w:t>1</w:t>
    </w:r>
    <w:r>
      <w:rPr>
        <w:rStyle w:val="a4"/>
      </w:rPr>
      <w:fldChar w:fldCharType="end"/>
    </w:r>
  </w:p>
  <w:p w:rsidR="00BB6331" w:rsidRDefault="00E9226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B8C" w:rsidRDefault="002A1B8C">
      <w:r>
        <w:separator/>
      </w:r>
    </w:p>
  </w:footnote>
  <w:footnote w:type="continuationSeparator" w:id="0">
    <w:p w:rsidR="002A1B8C" w:rsidRDefault="002A1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7FE"/>
    <w:rsid w:val="002A1B8C"/>
    <w:rsid w:val="003F44DF"/>
    <w:rsid w:val="004933C0"/>
    <w:rsid w:val="004C14C4"/>
    <w:rsid w:val="00534DB1"/>
    <w:rsid w:val="005D1799"/>
    <w:rsid w:val="00641E16"/>
    <w:rsid w:val="007D76EA"/>
    <w:rsid w:val="00992C22"/>
    <w:rsid w:val="00A0523D"/>
    <w:rsid w:val="00A06ECC"/>
    <w:rsid w:val="00A572C2"/>
    <w:rsid w:val="00BB6331"/>
    <w:rsid w:val="00C46229"/>
    <w:rsid w:val="00CD6E1F"/>
    <w:rsid w:val="00D0171C"/>
    <w:rsid w:val="00D267FB"/>
    <w:rsid w:val="00D87F7C"/>
    <w:rsid w:val="00E40EF5"/>
    <w:rsid w:val="00E9226B"/>
    <w:rsid w:val="00EE41B0"/>
    <w:rsid w:val="00FE3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F7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922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68175">
      <w:bodyDiv w:val="1"/>
      <w:marLeft w:val="0"/>
      <w:marRight w:val="0"/>
      <w:marTop w:val="0"/>
      <w:marBottom w:val="0"/>
      <w:divBdr>
        <w:top w:val="none" w:sz="0" w:space="0" w:color="auto"/>
        <w:left w:val="none" w:sz="0" w:space="0" w:color="auto"/>
        <w:bottom w:val="none" w:sz="0" w:space="0" w:color="auto"/>
        <w:right w:val="none" w:sz="0" w:space="0" w:color="auto"/>
      </w:divBdr>
    </w:div>
    <w:div w:id="582766145">
      <w:bodyDiv w:val="1"/>
      <w:marLeft w:val="0"/>
      <w:marRight w:val="0"/>
      <w:marTop w:val="0"/>
      <w:marBottom w:val="0"/>
      <w:divBdr>
        <w:top w:val="none" w:sz="0" w:space="0" w:color="auto"/>
        <w:left w:val="none" w:sz="0" w:space="0" w:color="auto"/>
        <w:bottom w:val="none" w:sz="0" w:space="0" w:color="auto"/>
        <w:right w:val="none" w:sz="0" w:space="0" w:color="auto"/>
      </w:divBdr>
    </w:div>
    <w:div w:id="661660609">
      <w:bodyDiv w:val="1"/>
      <w:marLeft w:val="0"/>
      <w:marRight w:val="0"/>
      <w:marTop w:val="0"/>
      <w:marBottom w:val="0"/>
      <w:divBdr>
        <w:top w:val="none" w:sz="0" w:space="0" w:color="auto"/>
        <w:left w:val="none" w:sz="0" w:space="0" w:color="auto"/>
        <w:bottom w:val="none" w:sz="0" w:space="0" w:color="auto"/>
        <w:right w:val="none" w:sz="0" w:space="0" w:color="auto"/>
      </w:divBdr>
    </w:div>
    <w:div w:id="1168205738">
      <w:bodyDiv w:val="1"/>
      <w:marLeft w:val="0"/>
      <w:marRight w:val="0"/>
      <w:marTop w:val="0"/>
      <w:marBottom w:val="0"/>
      <w:divBdr>
        <w:top w:val="none" w:sz="0" w:space="0" w:color="auto"/>
        <w:left w:val="none" w:sz="0" w:space="0" w:color="auto"/>
        <w:bottom w:val="none" w:sz="0" w:space="0" w:color="auto"/>
        <w:right w:val="none" w:sz="0" w:space="0" w:color="auto"/>
      </w:divBdr>
    </w:div>
    <w:div w:id="1813524731">
      <w:bodyDiv w:val="1"/>
      <w:marLeft w:val="0"/>
      <w:marRight w:val="0"/>
      <w:marTop w:val="0"/>
      <w:marBottom w:val="0"/>
      <w:divBdr>
        <w:top w:val="none" w:sz="0" w:space="0" w:color="auto"/>
        <w:left w:val="none" w:sz="0" w:space="0" w:color="auto"/>
        <w:bottom w:val="none" w:sz="0" w:space="0" w:color="auto"/>
        <w:right w:val="none" w:sz="0" w:space="0" w:color="auto"/>
      </w:divBdr>
    </w:div>
    <w:div w:id="1899441251">
      <w:bodyDiv w:val="1"/>
      <w:marLeft w:val="0"/>
      <w:marRight w:val="0"/>
      <w:marTop w:val="0"/>
      <w:marBottom w:val="0"/>
      <w:divBdr>
        <w:top w:val="none" w:sz="0" w:space="0" w:color="auto"/>
        <w:left w:val="none" w:sz="0" w:space="0" w:color="auto"/>
        <w:bottom w:val="none" w:sz="0" w:space="0" w:color="auto"/>
        <w:right w:val="none" w:sz="0" w:space="0" w:color="auto"/>
      </w:divBdr>
    </w:div>
    <w:div w:id="1935431644">
      <w:bodyDiv w:val="1"/>
      <w:marLeft w:val="0"/>
      <w:marRight w:val="0"/>
      <w:marTop w:val="0"/>
      <w:marBottom w:val="0"/>
      <w:divBdr>
        <w:top w:val="none" w:sz="0" w:space="0" w:color="auto"/>
        <w:left w:val="none" w:sz="0" w:space="0" w:color="auto"/>
        <w:bottom w:val="none" w:sz="0" w:space="0" w:color="auto"/>
        <w:right w:val="none" w:sz="0" w:space="0" w:color="auto"/>
      </w:divBdr>
    </w:div>
    <w:div w:id="1988392085">
      <w:bodyDiv w:val="1"/>
      <w:marLeft w:val="0"/>
      <w:marRight w:val="0"/>
      <w:marTop w:val="0"/>
      <w:marBottom w:val="0"/>
      <w:divBdr>
        <w:top w:val="none" w:sz="0" w:space="0" w:color="auto"/>
        <w:left w:val="none" w:sz="0" w:space="0" w:color="auto"/>
        <w:bottom w:val="none" w:sz="0" w:space="0" w:color="auto"/>
        <w:right w:val="none" w:sz="0" w:space="0" w:color="auto"/>
      </w:divBdr>
    </w:div>
    <w:div w:id="19900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212</Words>
  <Characters>1214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金融商品取引法第156条の10</vt:lpstr>
      <vt:lpstr>金融商品取引法第156条の10</vt:lpstr>
    </vt:vector>
  </TitlesOfParts>
  <Manager/>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金融商品取引法第156条の10</dc:title>
  <dc:subject/>
  <dc:creator/>
  <cp:keywords/>
  <dc:description/>
  <cp:lastModifiedBy/>
  <cp:revision>1</cp:revision>
  <dcterms:created xsi:type="dcterms:W3CDTF">2024-09-09T04:46:00Z</dcterms:created>
  <dcterms:modified xsi:type="dcterms:W3CDTF">2024-09-09T04:46:00Z</dcterms:modified>
</cp:coreProperties>
</file>