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35401" w:rsidRDefault="00135401" w:rsidP="0013540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35401" w:rsidRDefault="00BB6331" w:rsidP="00BB6331">
      <w:pPr>
        <w:rPr>
          <w:rFonts w:hint="eastAsia"/>
        </w:rPr>
      </w:pPr>
    </w:p>
    <w:p w:rsidR="00CF377B" w:rsidRDefault="00CF377B" w:rsidP="00CF377B">
      <w:pPr>
        <w:rPr>
          <w:rFonts w:hint="eastAsia"/>
        </w:rPr>
      </w:pPr>
      <w:r>
        <w:rPr>
          <w:rFonts w:hint="eastAsia"/>
        </w:rPr>
        <w:t>（報告の徴取及び検査）</w:t>
      </w:r>
    </w:p>
    <w:p w:rsidR="00BB6331" w:rsidRDefault="00CF377B" w:rsidP="00CF1E9D">
      <w:pPr>
        <w:ind w:left="178" w:hangingChars="85" w:hanging="178"/>
        <w:rPr>
          <w:rFonts w:hint="eastAsia"/>
        </w:rPr>
      </w:pPr>
      <w:r>
        <w:rPr>
          <w:rFonts w:hint="eastAsia"/>
        </w:rPr>
        <w:t>第六十条の十一　内閣総理大臣は、公益又は投資者保護のため必要かつ適当であると認めるときは、取引所取引許可業者、取引所取引許可業者と取引を行う者若しくは当該取引所取引許可業者から業務の委託を受けた者に対し当該取引所取引許可業者の取引所取引業務若しくは財産に関し参考となるべき報告若しくは資料の提出を命じ、又は当該職員に当該取引所取引許可業者の取引所取引業務若しくは財産の状況若しくは帳簿書類その他の物件の検査（当該取引所取引許可業者から業務の委託を受けた者にあつては、当該取引所取引許可業者の業務又は財産に関し必要なものに限る。）をさせ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95137">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95137">
        <w:rPr>
          <w:rFonts w:hint="eastAsia"/>
        </w:rPr>
        <w:t>（改正なし）</w:t>
      </w:r>
    </w:p>
    <w:p w:rsidR="00E95137" w:rsidRDefault="00E95137" w:rsidP="00E9513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1E9D">
        <w:tab/>
      </w:r>
      <w:r w:rsidR="00CF1E9D">
        <w:rPr>
          <w:rFonts w:hint="eastAsia"/>
        </w:rPr>
        <w:t>（改正なし）</w:t>
      </w:r>
    </w:p>
    <w:p w:rsidR="002E7B4B" w:rsidRDefault="00BB6331" w:rsidP="002E7B4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7B4B" w:rsidRDefault="002E7B4B" w:rsidP="002E7B4B"/>
    <w:p w:rsidR="002E7B4B" w:rsidRDefault="002E7B4B" w:rsidP="002E7B4B">
      <w:r>
        <w:rPr>
          <w:rFonts w:hint="eastAsia"/>
        </w:rPr>
        <w:t>（改正後）</w:t>
      </w:r>
    </w:p>
    <w:p w:rsidR="002E7B4B" w:rsidRDefault="002E7B4B" w:rsidP="002E7B4B">
      <w:r>
        <w:rPr>
          <w:rFonts w:hint="eastAsia"/>
        </w:rPr>
        <w:t>（報告の徴取及び検査）</w:t>
      </w:r>
    </w:p>
    <w:p w:rsidR="002E7B4B" w:rsidRDefault="002E7B4B" w:rsidP="002E7B4B">
      <w:pPr>
        <w:ind w:left="178" w:hangingChars="85" w:hanging="178"/>
      </w:pPr>
      <w:r>
        <w:rPr>
          <w:rFonts w:hint="eastAsia"/>
        </w:rPr>
        <w:t>第六十条の十一　内閣総理大臣は、公益又は投資者保護のため必要かつ適当であると認めるときは、取引所取引許可業者、取引所取引許可業者と取引を行う者若しくは当該取引所取引許可業者から業務の委託を受けた者に対し当該取引所取引許可業者の取引所取引業務若しくは財産に関し参考となるべき報告若しくは資料の提出を命じ、又は当該職員に当該取引所取引許可業者の取引所取引業務若しくは財産の状況若しくは帳簿書類その他の物件の検査（当該取引所取引許可業者から業務の委託を受けた者にあつては、当該取引所取引許可業者の業務又は財産に関し必要なものに限る。）をさせることができる。</w:t>
      </w:r>
    </w:p>
    <w:p w:rsidR="002E7B4B" w:rsidRPr="002E7B4B" w:rsidRDefault="002E7B4B" w:rsidP="002E7B4B">
      <w:pPr>
        <w:ind w:left="178" w:hangingChars="85" w:hanging="178"/>
      </w:pPr>
    </w:p>
    <w:p w:rsidR="002E7B4B" w:rsidRDefault="002E7B4B" w:rsidP="002E7B4B">
      <w:pPr>
        <w:ind w:left="178" w:hangingChars="85" w:hanging="178"/>
      </w:pPr>
      <w:r>
        <w:rPr>
          <w:rFonts w:hint="eastAsia"/>
        </w:rPr>
        <w:lastRenderedPageBreak/>
        <w:t>（改正前）</w:t>
      </w:r>
    </w:p>
    <w:p w:rsidR="002E7B4B" w:rsidRDefault="002E7B4B" w:rsidP="002E7B4B">
      <w:pPr>
        <w:rPr>
          <w:u w:val="single" w:color="FF0000"/>
        </w:rPr>
      </w:pPr>
      <w:r>
        <w:rPr>
          <w:rFonts w:hint="eastAsia"/>
          <w:u w:val="single" w:color="FF0000"/>
        </w:rPr>
        <w:t>（新設）</w:t>
      </w:r>
    </w:p>
    <w:p w:rsidR="002E7B4B" w:rsidRDefault="002E7B4B" w:rsidP="002E7B4B"/>
    <w:p w:rsidR="00BB6331" w:rsidRPr="002E7B4B" w:rsidRDefault="00BB6331" w:rsidP="002E7B4B"/>
    <w:sectPr w:rsidR="00BB6331" w:rsidRPr="002E7B4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452" w:rsidRDefault="00F55452">
      <w:r>
        <w:separator/>
      </w:r>
    </w:p>
  </w:endnote>
  <w:endnote w:type="continuationSeparator" w:id="0">
    <w:p w:rsidR="00F55452" w:rsidRDefault="00F55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0F90">
      <w:rPr>
        <w:rStyle w:val="a4"/>
        <w:noProof/>
      </w:rPr>
      <w:t>2</w:t>
    </w:r>
    <w:r>
      <w:rPr>
        <w:rStyle w:val="a4"/>
      </w:rPr>
      <w:fldChar w:fldCharType="end"/>
    </w:r>
  </w:p>
  <w:p w:rsidR="00BB6331" w:rsidRDefault="00CF1E9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452" w:rsidRDefault="00F55452">
      <w:r>
        <w:separator/>
      </w:r>
    </w:p>
  </w:footnote>
  <w:footnote w:type="continuationSeparator" w:id="0">
    <w:p w:rsidR="00F55452" w:rsidRDefault="00F554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35401"/>
    <w:rsid w:val="002E7B4B"/>
    <w:rsid w:val="005A1AE9"/>
    <w:rsid w:val="008A6373"/>
    <w:rsid w:val="00BB6331"/>
    <w:rsid w:val="00CF1E9D"/>
    <w:rsid w:val="00CF377B"/>
    <w:rsid w:val="00DE5D7B"/>
    <w:rsid w:val="00E95137"/>
    <w:rsid w:val="00ED0F90"/>
    <w:rsid w:val="00F55452"/>
    <w:rsid w:val="00F86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1E9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320365">
      <w:bodyDiv w:val="1"/>
      <w:marLeft w:val="0"/>
      <w:marRight w:val="0"/>
      <w:marTop w:val="0"/>
      <w:marBottom w:val="0"/>
      <w:divBdr>
        <w:top w:val="none" w:sz="0" w:space="0" w:color="auto"/>
        <w:left w:val="none" w:sz="0" w:space="0" w:color="auto"/>
        <w:bottom w:val="none" w:sz="0" w:space="0" w:color="auto"/>
        <w:right w:val="none" w:sz="0" w:space="0" w:color="auto"/>
      </w:divBdr>
    </w:div>
    <w:div w:id="954945956">
      <w:bodyDiv w:val="1"/>
      <w:marLeft w:val="0"/>
      <w:marRight w:val="0"/>
      <w:marTop w:val="0"/>
      <w:marBottom w:val="0"/>
      <w:divBdr>
        <w:top w:val="none" w:sz="0" w:space="0" w:color="auto"/>
        <w:left w:val="none" w:sz="0" w:space="0" w:color="auto"/>
        <w:bottom w:val="none" w:sz="0" w:space="0" w:color="auto"/>
        <w:right w:val="none" w:sz="0" w:space="0" w:color="auto"/>
      </w:divBdr>
    </w:div>
    <w:div w:id="1566186244">
      <w:bodyDiv w:val="1"/>
      <w:marLeft w:val="0"/>
      <w:marRight w:val="0"/>
      <w:marTop w:val="0"/>
      <w:marBottom w:val="0"/>
      <w:divBdr>
        <w:top w:val="none" w:sz="0" w:space="0" w:color="auto"/>
        <w:left w:val="none" w:sz="0" w:space="0" w:color="auto"/>
        <w:bottom w:val="none" w:sz="0" w:space="0" w:color="auto"/>
        <w:right w:val="none" w:sz="0" w:space="0" w:color="auto"/>
      </w:divBdr>
    </w:div>
    <w:div w:id="164465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金融商品取引法第60条の11</vt:lpstr>
      <vt:lpstr>金融商品取引法第60条の11</vt:lpstr>
    </vt:vector>
  </TitlesOfParts>
  <Manager/>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金融商品取引法第60条の11</dc:title>
  <dc:subject/>
  <dc:creator/>
  <cp:keywords/>
  <dc:description/>
  <cp:lastModifiedBy/>
  <cp:revision>1</cp:revision>
  <dcterms:created xsi:type="dcterms:W3CDTF">2024-09-04T06:20:00Z</dcterms:created>
  <dcterms:modified xsi:type="dcterms:W3CDTF">2024-09-04T06:20:00Z</dcterms:modified>
</cp:coreProperties>
</file>